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文件编号：WI-PR-004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机加工工序作业指导书</w:t>
      </w:r>
    </w:p>
    <w:p/>
    <w:p>
      <w:pPr>
        <w:pStyle w:val="Heading1"/>
      </w:pPr>
      <w:r>
        <w:t>1. 目的</w:t>
      </w:r>
    </w:p>
    <w:p>
      <w:r>
        <w:t>规范机加工操作。</w:t>
      </w:r>
    </w:p>
    <w:p/>
    <w:p>
      <w:pPr>
        <w:pStyle w:val="Heading1"/>
      </w:pPr>
      <w:r>
        <w:t>2. 范围</w:t>
      </w:r>
    </w:p>
    <w:p>
      <w:r>
        <w:t>适用于车、铣、钻、磨等机加工工序。</w:t>
      </w:r>
    </w:p>
    <w:p/>
    <w:p>
      <w:pPr>
        <w:pStyle w:val="Heading1"/>
      </w:pPr>
      <w:r>
        <w:t>3. 作业前准备</w:t>
      </w:r>
    </w:p>
    <w:p>
      <w:pPr>
        <w:pStyle w:val="ListBullet"/>
      </w:pPr>
      <w:r>
        <w:t>检查设备状态</w:t>
      </w:r>
    </w:p>
    <w:p>
      <w:pPr>
        <w:pStyle w:val="ListBullet"/>
      </w:pPr>
      <w:r>
        <w:t>准备刀具和量具</w:t>
      </w:r>
    </w:p>
    <w:p>
      <w:pPr>
        <w:pStyle w:val="ListBullet"/>
      </w:pPr>
      <w:r>
        <w:t>核对图纸和工艺卡</w:t>
      </w:r>
    </w:p>
    <w:p>
      <w:pPr>
        <w:pStyle w:val="ListBullet"/>
      </w:pPr>
      <w:r>
        <w:t>装夹工件</w:t>
      </w:r>
    </w:p>
    <w:p/>
    <w:p>
      <w:pPr>
        <w:pStyle w:val="Heading1"/>
      </w:pPr>
      <w:r>
        <w:t>4. 操作步骤</w:t>
      </w:r>
    </w:p>
    <w:p>
      <w:pPr>
        <w:pStyle w:val="ListBullet"/>
      </w:pPr>
      <w:r>
        <w:t>按工艺卡设定参数</w:t>
      </w:r>
    </w:p>
    <w:p>
      <w:pPr>
        <w:pStyle w:val="ListBullet"/>
      </w:pPr>
      <w:r>
        <w:t>进行首件试切</w:t>
      </w:r>
    </w:p>
    <w:p>
      <w:pPr>
        <w:pStyle w:val="ListBullet"/>
      </w:pPr>
      <w:r>
        <w:t>首件检验合格后批量加工</w:t>
      </w:r>
    </w:p>
    <w:p>
      <w:pPr>
        <w:pStyle w:val="ListBullet"/>
      </w:pPr>
      <w:r>
        <w:t>定时自检</w:t>
      </w:r>
    </w:p>
    <w:p>
      <w:pPr>
        <w:pStyle w:val="ListBullet"/>
      </w:pPr>
      <w:r>
        <w:t>去毛刺清理</w:t>
      </w:r>
    </w:p>
    <w:p/>
    <w:p>
      <w:pPr>
        <w:pStyle w:val="Heading1"/>
      </w:pPr>
      <w:r>
        <w:t>5. 加工要求</w:t>
      </w:r>
    </w:p>
    <w:p>
      <w:pPr>
        <w:pStyle w:val="ListBullet"/>
      </w:pPr>
      <w:r>
        <w:t>尺寸精度符合要求</w:t>
      </w:r>
    </w:p>
    <w:p>
      <w:pPr>
        <w:pStyle w:val="ListBullet"/>
      </w:pPr>
      <w:r>
        <w:t>表面粗糙度达标</w:t>
      </w:r>
    </w:p>
    <w:p>
      <w:pPr>
        <w:pStyle w:val="ListBullet"/>
      </w:pPr>
      <w:r>
        <w:t>无刀痕、划伤</w:t>
      </w:r>
    </w:p>
    <w:p/>
    <w:p>
      <w:pPr>
        <w:pStyle w:val="Heading1"/>
      </w:pPr>
      <w:r>
        <w:t>6. 安全事项</w:t>
      </w:r>
    </w:p>
    <w:p>
      <w:pPr>
        <w:pStyle w:val="ListBullet"/>
      </w:pPr>
      <w:r>
        <w:t>戴防护眼镜</w:t>
      </w:r>
    </w:p>
    <w:p>
      <w:pPr>
        <w:pStyle w:val="ListBullet"/>
      </w:pPr>
      <w:r>
        <w:t>长发盘起</w:t>
      </w:r>
    </w:p>
    <w:p>
      <w:pPr>
        <w:pStyle w:val="ListBullet"/>
      </w:pPr>
      <w:r>
        <w:t>不得戴手套操作旋转设备</w:t>
      </w:r>
    </w:p>
    <w:p/>
    <w:p>
      <w:pPr>
        <w:pStyle w:val="Heading1"/>
      </w:pPr>
      <w:r>
        <w:t>7. 记录</w:t>
      </w:r>
    </w:p>
    <w:p>
      <w:r>
        <w:t>填写《机加工记录》（FM-102）。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